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A9C" w:rsidRPr="00C85100" w:rsidRDefault="00F04A9C" w:rsidP="00F04A9C">
      <w:pPr>
        <w:jc w:val="center"/>
        <w:rPr>
          <w:b/>
        </w:rPr>
      </w:pPr>
      <w:r>
        <w:rPr>
          <w:b/>
        </w:rPr>
        <w:t xml:space="preserve">Оформить рисунки по </w:t>
      </w:r>
      <w:r w:rsidR="000F3386">
        <w:rPr>
          <w:b/>
        </w:rPr>
        <w:t>правилам</w:t>
      </w:r>
      <w:r w:rsidRPr="00C85100">
        <w:rPr>
          <w:b/>
        </w:rPr>
        <w:t>.</w:t>
      </w:r>
    </w:p>
    <w:p w:rsidR="00F04A9C" w:rsidRDefault="00F04A9C" w:rsidP="00F04A9C"/>
    <w:p w:rsidR="00F04A9C" w:rsidRDefault="00F04A9C" w:rsidP="00F04A9C">
      <w:pPr>
        <w:pStyle w:val="a7"/>
        <w:numPr>
          <w:ilvl w:val="0"/>
          <w:numId w:val="14"/>
        </w:numPr>
      </w:pPr>
      <w:r>
        <w:t>Обычный рисунок в тексте</w:t>
      </w:r>
    </w:p>
    <w:p w:rsidR="00C85100" w:rsidRDefault="00C85100" w:rsidP="00C85100"/>
    <w:p w:rsidR="00F66129" w:rsidRDefault="0063266C" w:rsidP="00F66129">
      <w:pPr>
        <w:spacing w:line="360" w:lineRule="auto"/>
        <w:ind w:firstLine="709"/>
        <w:rPr>
          <w:rFonts w:eastAsia="Calibri"/>
          <w:szCs w:val="28"/>
        </w:rPr>
      </w:pPr>
      <w:proofErr w:type="spellStart"/>
      <w:r w:rsidRPr="0063266C">
        <w:rPr>
          <w:rFonts w:eastAsia="Calibri"/>
          <w:szCs w:val="28"/>
        </w:rPr>
        <w:t>Многомодовые</w:t>
      </w:r>
      <w:proofErr w:type="spellEnd"/>
      <w:r w:rsidRPr="0063266C">
        <w:rPr>
          <w:rFonts w:eastAsia="Calibri"/>
          <w:szCs w:val="28"/>
        </w:rPr>
        <w:t xml:space="preserve"> волокна (</w:t>
      </w:r>
      <w:proofErr w:type="spellStart"/>
      <w:r w:rsidRPr="0063266C">
        <w:rPr>
          <w:rFonts w:eastAsia="Calibri"/>
          <w:szCs w:val="28"/>
        </w:rPr>
        <w:t>Multimode</w:t>
      </w:r>
      <w:proofErr w:type="spellEnd"/>
      <w:r w:rsidRPr="0063266C">
        <w:rPr>
          <w:rFonts w:eastAsia="Calibri"/>
          <w:szCs w:val="28"/>
        </w:rPr>
        <w:t xml:space="preserve"> </w:t>
      </w:r>
      <w:proofErr w:type="spellStart"/>
      <w:r w:rsidRPr="0063266C">
        <w:rPr>
          <w:rFonts w:eastAsia="Calibri"/>
          <w:szCs w:val="28"/>
        </w:rPr>
        <w:t>Fiber</w:t>
      </w:r>
      <w:proofErr w:type="spellEnd"/>
      <w:r w:rsidRPr="0063266C">
        <w:rPr>
          <w:rFonts w:eastAsia="Calibri"/>
          <w:szCs w:val="28"/>
        </w:rPr>
        <w:t xml:space="preserve">) обычно имеют сердцевину диаметром 50 или 62,5 мкм, отражающую оболочку диаметром 125 мкм и используются для систем передачи видеоинформации на расстояния в несколько км. В качестве источников излучения в таких системах используются светодиоды, излучающие на длине волны 850 и 1300 </w:t>
      </w:r>
      <w:proofErr w:type="spellStart"/>
      <w:r w:rsidRPr="0063266C">
        <w:rPr>
          <w:rFonts w:eastAsia="Calibri"/>
          <w:szCs w:val="28"/>
        </w:rPr>
        <w:t>нм</w:t>
      </w:r>
      <w:proofErr w:type="spellEnd"/>
      <w:r w:rsidRPr="0063266C">
        <w:rPr>
          <w:rFonts w:eastAsia="Calibri"/>
          <w:szCs w:val="28"/>
        </w:rPr>
        <w:t xml:space="preserve"> с шириной спектра излучения 40-80 </w:t>
      </w:r>
      <w:proofErr w:type="spellStart"/>
      <w:r w:rsidRPr="0063266C">
        <w:rPr>
          <w:rFonts w:eastAsia="Calibri"/>
          <w:szCs w:val="28"/>
        </w:rPr>
        <w:t>нм</w:t>
      </w:r>
      <w:proofErr w:type="spellEnd"/>
      <w:r w:rsidRPr="0063266C">
        <w:rPr>
          <w:rFonts w:eastAsia="Calibri"/>
          <w:szCs w:val="28"/>
        </w:rPr>
        <w:t>. Лучи, входящие в многомодовое волокно под разными углами, распространяются по разным путям и назы</w:t>
      </w:r>
      <w:r>
        <w:rPr>
          <w:rFonts w:eastAsia="Calibri"/>
          <w:szCs w:val="28"/>
        </w:rPr>
        <w:t>ваются модами (см. рис.1.2).</w:t>
      </w:r>
    </w:p>
    <w:p w:rsidR="0063266C" w:rsidRDefault="0063266C" w:rsidP="00F66129">
      <w:pPr>
        <w:spacing w:line="360" w:lineRule="auto"/>
        <w:ind w:firstLine="709"/>
      </w:pPr>
      <w:r w:rsidRPr="0063266C">
        <w:t>Моды удерживаются внутри сердцевины и распространяются по зигзагообразной траектории вдоль оси волокна вследствие эффекта полного внутреннего отражения</w:t>
      </w:r>
    </w:p>
    <w:p w:rsidR="00365555" w:rsidRDefault="00365555" w:rsidP="00F66129">
      <w:pPr>
        <w:spacing w:line="360" w:lineRule="auto"/>
        <w:ind w:firstLine="709"/>
      </w:pPr>
    </w:p>
    <w:p w:rsidR="00C85100" w:rsidRDefault="005F0D15" w:rsidP="00C85100">
      <w:r>
        <w:t xml:space="preserve">Рисунок </w:t>
      </w:r>
      <w:r w:rsidR="00C85100">
        <w:t>1</w:t>
      </w:r>
      <w:r w:rsidR="00F66129">
        <w:t>.</w:t>
      </w:r>
      <w:r w:rsidR="0063266C">
        <w:t>2</w:t>
      </w:r>
      <w:r w:rsidR="00C85100">
        <w:t xml:space="preserve">: </w:t>
      </w:r>
      <w:r w:rsidR="0063266C" w:rsidRPr="0063266C">
        <w:rPr>
          <w:rFonts w:eastAsia="Calibri"/>
          <w:bCs/>
          <w:szCs w:val="28"/>
        </w:rPr>
        <w:t>Распространение многомодового излучения в оптоволокне</w:t>
      </w:r>
      <w:r w:rsidR="00365555" w:rsidRPr="00365555">
        <w:rPr>
          <w:rFonts w:eastAsia="Calibri"/>
          <w:bCs/>
          <w:szCs w:val="28"/>
        </w:rPr>
        <w:t>.</w:t>
      </w:r>
    </w:p>
    <w:p w:rsidR="007D10C0" w:rsidRDefault="0063266C" w:rsidP="0063266C">
      <w:pPr>
        <w:jc w:val="center"/>
      </w:pPr>
      <w:r>
        <w:rPr>
          <w:noProof/>
        </w:rPr>
        <w:drawing>
          <wp:inline distT="0" distB="0" distL="0" distR="0">
            <wp:extent cx="3004185" cy="1318260"/>
            <wp:effectExtent l="0" t="0" r="571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85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A55" w:rsidRDefault="00466A55" w:rsidP="00C85100"/>
    <w:p w:rsidR="00F04A9C" w:rsidRDefault="00F04A9C" w:rsidP="00F04A9C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2) Составной рисунок (а, </w:t>
      </w:r>
      <w:proofErr w:type="gramStart"/>
      <w:r>
        <w:rPr>
          <w:rFonts w:eastAsia="Calibri"/>
          <w:szCs w:val="28"/>
        </w:rPr>
        <w:t>б</w:t>
      </w:r>
      <w:proofErr w:type="gramEnd"/>
      <w:r>
        <w:rPr>
          <w:rFonts w:eastAsia="Calibri"/>
          <w:szCs w:val="28"/>
        </w:rPr>
        <w:t>, в, …). Задание а) – оформить на одном листе, задание б) – разбить на 2 листа.</w:t>
      </w:r>
    </w:p>
    <w:p w:rsidR="00F04A9C" w:rsidRDefault="00F04A9C" w:rsidP="00F04A9C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466A55" w:rsidRDefault="004F4091" w:rsidP="00C85100">
      <w:pPr>
        <w:spacing w:line="360" w:lineRule="auto"/>
        <w:ind w:firstLine="709"/>
        <w:rPr>
          <w:szCs w:val="28"/>
        </w:rPr>
      </w:pPr>
      <w:r w:rsidRPr="004F4091">
        <w:rPr>
          <w:szCs w:val="28"/>
        </w:rPr>
        <w:t xml:space="preserve">При стыковке компонентов волоконно-оптической системы с помощью коннекторов и при сварке оптоволоконного кабеля могут возникать потери мощности, связанные с неточной центровкой световодов. В этом случае часть лучей просто не переходит в </w:t>
      </w:r>
      <w:proofErr w:type="gramStart"/>
      <w:r w:rsidRPr="004F4091">
        <w:rPr>
          <w:szCs w:val="28"/>
        </w:rPr>
        <w:t>следующий</w:t>
      </w:r>
      <w:proofErr w:type="gramEnd"/>
      <w:r w:rsidRPr="004F4091">
        <w:rPr>
          <w:szCs w:val="28"/>
        </w:rPr>
        <w:t xml:space="preserve"> световод, или входит под углом более критического. При неполном физическом контакте волокон возникает эффект обратных потерь – отражение в обратном направлении </w:t>
      </w:r>
      <w:r w:rsidRPr="004F4091">
        <w:rPr>
          <w:szCs w:val="28"/>
        </w:rPr>
        <w:lastRenderedPageBreak/>
        <w:t>части полезного сигнала</w:t>
      </w:r>
      <w:r>
        <w:rPr>
          <w:szCs w:val="28"/>
        </w:rPr>
        <w:t>. Различные механизмы возникновения обратных потерь приведены на рис. 2.14.</w:t>
      </w:r>
    </w:p>
    <w:p w:rsidR="004F4091" w:rsidRDefault="004F4091" w:rsidP="00466A55">
      <w:pPr>
        <w:spacing w:before="120" w:line="360" w:lineRule="auto"/>
      </w:pPr>
    </w:p>
    <w:p w:rsidR="0063266C" w:rsidRDefault="00C85100" w:rsidP="00466A55">
      <w:pPr>
        <w:spacing w:before="120" w:line="360" w:lineRule="auto"/>
        <w:rPr>
          <w:szCs w:val="28"/>
        </w:rPr>
      </w:pPr>
      <w:r>
        <w:t>Рисунок 2</w:t>
      </w:r>
      <w:r w:rsidR="007D10C0">
        <w:t>.1</w:t>
      </w:r>
      <w:r w:rsidR="0063266C">
        <w:t>4</w:t>
      </w:r>
      <w:r>
        <w:t xml:space="preserve"> (</w:t>
      </w:r>
      <w:r w:rsidR="0063266C">
        <w:t>три</w:t>
      </w:r>
      <w:r>
        <w:t xml:space="preserve"> в одном): </w:t>
      </w:r>
      <w:r w:rsidR="0063266C">
        <w:rPr>
          <w:szCs w:val="28"/>
        </w:rPr>
        <w:t>Механизмы возникновения обратных потерь:</w:t>
      </w:r>
    </w:p>
    <w:p w:rsidR="004F4091" w:rsidRPr="004F4091" w:rsidRDefault="004F4091" w:rsidP="004F4091">
      <w:pPr>
        <w:pStyle w:val="a7"/>
        <w:numPr>
          <w:ilvl w:val="0"/>
          <w:numId w:val="13"/>
        </w:numPr>
        <w:spacing w:before="120" w:line="360" w:lineRule="auto"/>
        <w:rPr>
          <w:szCs w:val="28"/>
        </w:rPr>
      </w:pPr>
      <w:r w:rsidRPr="004F4091">
        <w:rPr>
          <w:szCs w:val="28"/>
        </w:rPr>
        <w:t>радиальное смещение</w:t>
      </w:r>
    </w:p>
    <w:p w:rsidR="004F4091" w:rsidRPr="004F4091" w:rsidRDefault="004F4091" w:rsidP="004F4091">
      <w:pPr>
        <w:pStyle w:val="a7"/>
        <w:numPr>
          <w:ilvl w:val="0"/>
          <w:numId w:val="13"/>
        </w:numPr>
        <w:spacing w:before="120" w:line="360" w:lineRule="auto"/>
        <w:rPr>
          <w:szCs w:val="28"/>
        </w:rPr>
      </w:pPr>
      <w:r w:rsidRPr="004F4091">
        <w:rPr>
          <w:szCs w:val="28"/>
        </w:rPr>
        <w:t>осевое смещение;</w:t>
      </w:r>
    </w:p>
    <w:p w:rsidR="00C85100" w:rsidRPr="004F4091" w:rsidRDefault="004F4091" w:rsidP="004F4091">
      <w:pPr>
        <w:pStyle w:val="a7"/>
        <w:numPr>
          <w:ilvl w:val="0"/>
          <w:numId w:val="13"/>
        </w:numPr>
        <w:spacing w:before="120" w:line="360" w:lineRule="auto"/>
        <w:rPr>
          <w:szCs w:val="28"/>
        </w:rPr>
      </w:pPr>
      <w:r w:rsidRPr="004F4091">
        <w:rPr>
          <w:szCs w:val="28"/>
        </w:rPr>
        <w:t>угловое смещение</w:t>
      </w:r>
      <w:r w:rsidR="00466A55" w:rsidRPr="004F4091">
        <w:rPr>
          <w:szCs w:val="28"/>
        </w:rPr>
        <w:t>.</w:t>
      </w:r>
    </w:p>
    <w:p w:rsidR="00C85100" w:rsidRDefault="0063266C" w:rsidP="00C85100">
      <w:pPr>
        <w:jc w:val="left"/>
      </w:pPr>
      <w:r>
        <w:rPr>
          <w:noProof/>
        </w:rPr>
        <w:drawing>
          <wp:inline distT="0" distB="0" distL="0" distR="0">
            <wp:extent cx="5034915" cy="1270635"/>
            <wp:effectExtent l="0" t="0" r="0" b="571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91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F04A9C" w:rsidRDefault="00F04A9C" w:rsidP="00F04A9C">
      <w:pPr>
        <w:rPr>
          <w:rFonts w:eastAsia="Calibri"/>
          <w:szCs w:val="28"/>
        </w:rPr>
      </w:pPr>
      <w:r>
        <w:rPr>
          <w:rFonts w:eastAsia="Calibri"/>
          <w:szCs w:val="28"/>
        </w:rPr>
        <w:t>3) Рисунок с пояснениями (выбр</w:t>
      </w:r>
      <w:bookmarkStart w:id="0" w:name="_GoBack"/>
      <w:bookmarkEnd w:id="0"/>
      <w:r>
        <w:rPr>
          <w:rFonts w:eastAsia="Calibri"/>
          <w:szCs w:val="28"/>
        </w:rPr>
        <w:t>ать пояснения из текста, оформить по правилам)</w:t>
      </w:r>
    </w:p>
    <w:p w:rsidR="00C85100" w:rsidRPr="00F04A9C" w:rsidRDefault="00C85100" w:rsidP="00F04A9C">
      <w:pPr>
        <w:pStyle w:val="1"/>
        <w:spacing w:line="360" w:lineRule="auto"/>
        <w:jc w:val="both"/>
        <w:rPr>
          <w:b w:val="0"/>
          <w:bCs/>
          <w:caps w:val="0"/>
          <w:kern w:val="0"/>
          <w:szCs w:val="28"/>
        </w:rPr>
      </w:pPr>
    </w:p>
    <w:p w:rsidR="00466A55" w:rsidRPr="00F04A9C" w:rsidRDefault="00F04A9C" w:rsidP="00F04A9C">
      <w:pPr>
        <w:pStyle w:val="1"/>
        <w:spacing w:line="360" w:lineRule="auto"/>
        <w:jc w:val="both"/>
        <w:rPr>
          <w:b w:val="0"/>
          <w:bCs/>
          <w:caps w:val="0"/>
          <w:kern w:val="0"/>
          <w:szCs w:val="28"/>
        </w:rPr>
      </w:pPr>
      <w:r w:rsidRPr="00F04A9C">
        <w:rPr>
          <w:b w:val="0"/>
          <w:bCs/>
          <w:caps w:val="0"/>
          <w:kern w:val="0"/>
          <w:szCs w:val="28"/>
        </w:rPr>
        <w:t xml:space="preserve">Кабели для прокладки в земле эксплуатируются, в основном, при изменении температурного режима от-60оС до + 55оС, при воздействии на них воды, льда, гидростатического давления воды, агрессивных жидкостей, ударов твердых пород и пр. </w:t>
      </w:r>
      <w:proofErr w:type="gramStart"/>
      <w:r w:rsidRPr="00F04A9C">
        <w:rPr>
          <w:b w:val="0"/>
          <w:bCs/>
          <w:caps w:val="0"/>
          <w:kern w:val="0"/>
          <w:szCs w:val="28"/>
        </w:rPr>
        <w:t>ОК</w:t>
      </w:r>
      <w:proofErr w:type="gramEnd"/>
      <w:r w:rsidRPr="00F04A9C">
        <w:rPr>
          <w:b w:val="0"/>
          <w:bCs/>
          <w:caps w:val="0"/>
          <w:kern w:val="0"/>
          <w:szCs w:val="28"/>
        </w:rPr>
        <w:t xml:space="preserve"> данного типа прокладывают с помощью обычного оборудования, используемого для прокладки магистральных кабелей связи. Примеры конструкции </w:t>
      </w:r>
      <w:proofErr w:type="gramStart"/>
      <w:r w:rsidRPr="00F04A9C">
        <w:rPr>
          <w:b w:val="0"/>
          <w:bCs/>
          <w:caps w:val="0"/>
          <w:kern w:val="0"/>
          <w:szCs w:val="28"/>
        </w:rPr>
        <w:t>ОК</w:t>
      </w:r>
      <w:proofErr w:type="gramEnd"/>
      <w:r w:rsidRPr="00F04A9C">
        <w:rPr>
          <w:b w:val="0"/>
          <w:bCs/>
          <w:caps w:val="0"/>
          <w:kern w:val="0"/>
          <w:szCs w:val="28"/>
        </w:rPr>
        <w:t xml:space="preserve"> для прокладки в земле представлены на рисунке 7.1.</w:t>
      </w:r>
    </w:p>
    <w:p w:rsidR="00C85100" w:rsidRPr="00F04A9C" w:rsidRDefault="00F04A9C" w:rsidP="00F04A9C">
      <w:pPr>
        <w:pStyle w:val="1"/>
        <w:spacing w:line="360" w:lineRule="auto"/>
        <w:jc w:val="both"/>
        <w:rPr>
          <w:b w:val="0"/>
          <w:bCs/>
          <w:caps w:val="0"/>
          <w:kern w:val="0"/>
          <w:szCs w:val="28"/>
        </w:rPr>
      </w:pPr>
      <w:r w:rsidRPr="00F04A9C">
        <w:rPr>
          <w:b w:val="0"/>
          <w:bCs/>
          <w:caps w:val="0"/>
          <w:kern w:val="0"/>
          <w:szCs w:val="28"/>
        </w:rPr>
        <w:t xml:space="preserve">Рисунок 7.1 - Конструкция </w:t>
      </w:r>
      <w:proofErr w:type="gramStart"/>
      <w:r w:rsidRPr="00F04A9C">
        <w:rPr>
          <w:b w:val="0"/>
          <w:bCs/>
          <w:caps w:val="0"/>
          <w:kern w:val="0"/>
          <w:szCs w:val="28"/>
        </w:rPr>
        <w:t>ОК</w:t>
      </w:r>
      <w:proofErr w:type="gramEnd"/>
      <w:r w:rsidRPr="00F04A9C">
        <w:rPr>
          <w:b w:val="0"/>
          <w:bCs/>
          <w:caps w:val="0"/>
          <w:kern w:val="0"/>
          <w:szCs w:val="28"/>
        </w:rPr>
        <w:t xml:space="preserve"> для прокладки в земле</w:t>
      </w:r>
      <w:r w:rsidRPr="00F04A9C">
        <w:rPr>
          <w:b w:val="0"/>
          <w:bCs/>
          <w:caps w:val="0"/>
          <w:kern w:val="0"/>
          <w:szCs w:val="28"/>
        </w:rPr>
        <w:br/>
      </w:r>
      <w:r w:rsidRPr="00F04A9C">
        <w:rPr>
          <w:b w:val="0"/>
          <w:bCs/>
          <w:caps w:val="0"/>
          <w:kern w:val="0"/>
          <w:szCs w:val="28"/>
        </w:rPr>
        <w:br/>
        <w:t xml:space="preserve">1 – ОВ; 2 – заполнитель ОМ; 2 – трубка ОМ; 4 – ЦСЭ; 5 – </w:t>
      </w:r>
      <w:proofErr w:type="spellStart"/>
      <w:r w:rsidRPr="00F04A9C">
        <w:rPr>
          <w:b w:val="0"/>
          <w:bCs/>
          <w:caps w:val="0"/>
          <w:kern w:val="0"/>
          <w:szCs w:val="28"/>
        </w:rPr>
        <w:t>кордель</w:t>
      </w:r>
      <w:proofErr w:type="spellEnd"/>
      <w:r w:rsidRPr="00F04A9C">
        <w:rPr>
          <w:b w:val="0"/>
          <w:bCs/>
          <w:caps w:val="0"/>
          <w:kern w:val="0"/>
          <w:szCs w:val="28"/>
        </w:rPr>
        <w:t>;</w:t>
      </w:r>
      <w:r w:rsidRPr="00F04A9C">
        <w:rPr>
          <w:b w:val="0"/>
          <w:bCs/>
          <w:caps w:val="0"/>
          <w:kern w:val="0"/>
          <w:szCs w:val="28"/>
        </w:rPr>
        <w:br/>
        <w:t>6 – ГЗ сердечника; 7 – скрепляющая обмотка; 8 – армирующий слой;</w:t>
      </w:r>
      <w:r w:rsidRPr="00F04A9C">
        <w:rPr>
          <w:b w:val="0"/>
          <w:bCs/>
          <w:caps w:val="0"/>
          <w:kern w:val="0"/>
          <w:szCs w:val="28"/>
        </w:rPr>
        <w:br/>
        <w:t>9 – оболочка; 10(1) – гофрированная броня; 10(2) – подушка под броню; 11 – ГЗ брони; 12 – ленточная броня; 13 – шланг.</w:t>
      </w:r>
    </w:p>
    <w:p w:rsidR="00706322" w:rsidRDefault="00F04A9C" w:rsidP="00706322">
      <w:pPr>
        <w:spacing w:line="360" w:lineRule="auto"/>
        <w:jc w:val="center"/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>
            <wp:extent cx="5940425" cy="3583086"/>
            <wp:effectExtent l="0" t="0" r="3175" b="0"/>
            <wp:docPr id="3" name="Рисунок 3" descr="https://nashaucheba.ru/docs/17/16642/conv_1/file1_html_3802ee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ashaucheba.ru/docs/17/16642/conv_1/file1_html_3802eebe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83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0C0" w:rsidRPr="00F04A9C" w:rsidRDefault="007D10C0" w:rsidP="00C85100">
      <w:pPr>
        <w:jc w:val="center"/>
      </w:pPr>
    </w:p>
    <w:p w:rsidR="00C85100" w:rsidRDefault="00C85100" w:rsidP="00C85100">
      <w:pPr>
        <w:autoSpaceDE w:val="0"/>
        <w:autoSpaceDN w:val="0"/>
        <w:adjustRightInd w:val="0"/>
        <w:spacing w:line="360" w:lineRule="auto"/>
      </w:pPr>
      <w:r>
        <w:t xml:space="preserve">4) </w:t>
      </w:r>
      <w:r w:rsidR="00F04A9C">
        <w:t>Графики</w:t>
      </w:r>
    </w:p>
    <w:p w:rsidR="005E2F7D" w:rsidRDefault="005E2F7D" w:rsidP="00C85100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5E2F7D">
        <w:rPr>
          <w:rFonts w:eastAsia="Calibri"/>
          <w:szCs w:val="28"/>
        </w:rPr>
        <w:t xml:space="preserve">В случае тонких вибраторов </w:t>
      </w:r>
      <w:r>
        <w:rPr>
          <w:rFonts w:eastAsia="Calibri"/>
          <w:szCs w:val="28"/>
        </w:rPr>
        <w:t>в</w:t>
      </w:r>
      <w:r w:rsidRPr="005E2F7D">
        <w:rPr>
          <w:rFonts w:eastAsia="Calibri"/>
          <w:szCs w:val="28"/>
        </w:rPr>
        <w:t xml:space="preserve">ходное сопротивление симметричного вибратора определяется через </w:t>
      </w:r>
      <w:proofErr w:type="gramStart"/>
      <w:r w:rsidRPr="005E2F7D">
        <w:rPr>
          <w:rFonts w:eastAsia="Calibri"/>
          <w:szCs w:val="28"/>
        </w:rPr>
        <w:t>известные</w:t>
      </w:r>
      <w:proofErr w:type="gramEnd"/>
      <w:r w:rsidRPr="005E2F7D">
        <w:rPr>
          <w:rFonts w:eastAsia="Calibri"/>
          <w:szCs w:val="28"/>
        </w:rPr>
        <w:t xml:space="preserve"> напряжение и ток на входе, в случае не очень тонких вибраторов обычно пользуются экспериментальными данными. Рассмотрим экспериментальные кривые зависимости RA</w:t>
      </w:r>
      <w:r>
        <w:rPr>
          <w:rFonts w:eastAsia="Calibri"/>
          <w:szCs w:val="28"/>
        </w:rPr>
        <w:t>-составляющей</w:t>
      </w:r>
      <w:r w:rsidRPr="005E2F7D">
        <w:rPr>
          <w:rFonts w:eastAsia="Calibri"/>
          <w:szCs w:val="28"/>
        </w:rPr>
        <w:t xml:space="preserve"> входн</w:t>
      </w:r>
      <w:r>
        <w:rPr>
          <w:rFonts w:eastAsia="Calibri"/>
          <w:szCs w:val="28"/>
        </w:rPr>
        <w:t>ого</w:t>
      </w:r>
      <w:r w:rsidRPr="005E2F7D">
        <w:rPr>
          <w:rFonts w:eastAsia="Calibri"/>
          <w:szCs w:val="28"/>
        </w:rPr>
        <w:t xml:space="preserve"> сопротивления цилиндрического симметричного вибратора для разных относительных диаметров. </w:t>
      </w:r>
    </w:p>
    <w:p w:rsidR="00C85100" w:rsidRDefault="005E2F7D" w:rsidP="00C85100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5E2F7D">
        <w:rPr>
          <w:rFonts w:eastAsia="Calibri"/>
          <w:szCs w:val="28"/>
        </w:rPr>
        <w:t xml:space="preserve">При </w:t>
      </w:r>
      <w:r>
        <w:rPr>
          <w:rFonts w:eastAsia="Calibri"/>
          <w:szCs w:val="28"/>
        </w:rPr>
        <w:t xml:space="preserve">малых длинах </w:t>
      </w:r>
      <w:r w:rsidRPr="005E2F7D">
        <w:rPr>
          <w:rFonts w:eastAsia="Calibri"/>
          <w:szCs w:val="28"/>
        </w:rPr>
        <w:t xml:space="preserve">активное сопротивление мало зависит от толщины вибратора и с увеличением частоты монотонно растет, достигает максимума и снова уменьшается. </w:t>
      </w:r>
    </w:p>
    <w:p w:rsidR="005E2F7D" w:rsidRPr="004F4091" w:rsidRDefault="005E2F7D" w:rsidP="00C85100">
      <w:pPr>
        <w:autoSpaceDE w:val="0"/>
        <w:autoSpaceDN w:val="0"/>
        <w:adjustRightInd w:val="0"/>
        <w:spacing w:line="360" w:lineRule="auto"/>
        <w:ind w:firstLine="709"/>
        <w:rPr>
          <w:highlight w:val="yellow"/>
        </w:rPr>
      </w:pPr>
    </w:p>
    <w:p w:rsidR="00C85100" w:rsidRPr="00706322" w:rsidRDefault="007D10C0" w:rsidP="00706322">
      <w:pPr>
        <w:autoSpaceDE w:val="0"/>
        <w:autoSpaceDN w:val="0"/>
        <w:adjustRightInd w:val="0"/>
        <w:spacing w:line="360" w:lineRule="auto"/>
      </w:pPr>
      <w:r w:rsidRPr="005E2F7D">
        <w:rPr>
          <w:rFonts w:eastAsia="Calibri"/>
          <w:szCs w:val="28"/>
        </w:rPr>
        <w:t xml:space="preserve">Рисунок </w:t>
      </w:r>
      <w:r w:rsidR="00466A55" w:rsidRPr="005E2F7D">
        <w:rPr>
          <w:rFonts w:eastAsia="Calibri"/>
          <w:szCs w:val="28"/>
        </w:rPr>
        <w:t>2.</w:t>
      </w:r>
      <w:r w:rsidR="005E2F7D" w:rsidRPr="005E2F7D">
        <w:rPr>
          <w:rFonts w:eastAsia="Calibri"/>
          <w:szCs w:val="28"/>
        </w:rPr>
        <w:t>6</w:t>
      </w:r>
      <w:r w:rsidRPr="005E2F7D">
        <w:rPr>
          <w:rFonts w:eastAsia="Calibri"/>
          <w:szCs w:val="28"/>
        </w:rPr>
        <w:t xml:space="preserve">: </w:t>
      </w:r>
      <w:r w:rsidR="005E2F7D" w:rsidRPr="005E2F7D">
        <w:rPr>
          <w:rFonts w:eastAsia="Calibri"/>
          <w:szCs w:val="28"/>
        </w:rPr>
        <w:t>Зависимость активной составляющей входного сопротивления</w:t>
      </w:r>
      <w:r w:rsidRPr="005E2F7D">
        <w:rPr>
          <w:rFonts w:eastAsia="Calibri"/>
          <w:szCs w:val="28"/>
        </w:rPr>
        <w:t>.</w:t>
      </w:r>
    </w:p>
    <w:p w:rsidR="00C85100" w:rsidRPr="005E2F7D" w:rsidRDefault="00F04A9C" w:rsidP="00C85100">
      <w:pPr>
        <w:autoSpaceDE w:val="0"/>
        <w:autoSpaceDN w:val="0"/>
        <w:adjustRightInd w:val="0"/>
        <w:spacing w:line="360" w:lineRule="auto"/>
        <w:ind w:firstLine="709"/>
      </w:pPr>
      <w:r>
        <w:rPr>
          <w:rFonts w:eastAsia="Calibri"/>
          <w:noProof/>
          <w:szCs w:val="28"/>
        </w:rPr>
        <w:lastRenderedPageBreak/>
        <w:drawing>
          <wp:inline distT="0" distB="0" distL="0" distR="0">
            <wp:extent cx="3423920" cy="2583815"/>
            <wp:effectExtent l="0" t="0" r="508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920" cy="258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6A55" w:rsidRPr="00466A55">
        <w:rPr>
          <w:rFonts w:eastAsia="Calibri"/>
          <w:noProof/>
          <w:szCs w:val="28"/>
        </w:rPr>
        <w:t xml:space="preserve"> </w:t>
      </w:r>
    </w:p>
    <w:p w:rsidR="00C85100" w:rsidRDefault="00C85100" w:rsidP="00C85100"/>
    <w:p w:rsidR="00C85100" w:rsidRPr="00C85100" w:rsidRDefault="00C85100" w:rsidP="00C85100"/>
    <w:sectPr w:rsidR="00C85100" w:rsidRPr="00C8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7693"/>
    <w:multiLevelType w:val="hybridMultilevel"/>
    <w:tmpl w:val="55D41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34699"/>
    <w:multiLevelType w:val="hybridMultilevel"/>
    <w:tmpl w:val="77B84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B1759"/>
    <w:multiLevelType w:val="hybridMultilevel"/>
    <w:tmpl w:val="E7507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83085"/>
    <w:multiLevelType w:val="hybridMultilevel"/>
    <w:tmpl w:val="F954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31C62596"/>
    <w:multiLevelType w:val="hybridMultilevel"/>
    <w:tmpl w:val="40D21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3"/>
  </w:num>
  <w:num w:numId="11">
    <w:abstractNumId w:val="2"/>
  </w:num>
  <w:num w:numId="12">
    <w:abstractNumId w:val="0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100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41D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A9"/>
    <w:rsid w:val="000F0CAD"/>
    <w:rsid w:val="000F0DE7"/>
    <w:rsid w:val="000F1576"/>
    <w:rsid w:val="000F171B"/>
    <w:rsid w:val="000F1AC8"/>
    <w:rsid w:val="000F2E88"/>
    <w:rsid w:val="000F3386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1762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555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A10"/>
    <w:rsid w:val="00411FE6"/>
    <w:rsid w:val="00412177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55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091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2F7D"/>
    <w:rsid w:val="005E323C"/>
    <w:rsid w:val="005E33D8"/>
    <w:rsid w:val="005E41AE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15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66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6322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CA8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F05"/>
    <w:rsid w:val="007C160C"/>
    <w:rsid w:val="007C1702"/>
    <w:rsid w:val="007C1BA7"/>
    <w:rsid w:val="007C2119"/>
    <w:rsid w:val="007C2AC0"/>
    <w:rsid w:val="007C2BFB"/>
    <w:rsid w:val="007C307F"/>
    <w:rsid w:val="007C34BE"/>
    <w:rsid w:val="007C3816"/>
    <w:rsid w:val="007C45F7"/>
    <w:rsid w:val="007C4A31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0C0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DAA"/>
    <w:rsid w:val="008615A8"/>
    <w:rsid w:val="00861767"/>
    <w:rsid w:val="008618EA"/>
    <w:rsid w:val="00861A18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12C"/>
    <w:rsid w:val="009601C8"/>
    <w:rsid w:val="009609D1"/>
    <w:rsid w:val="00960ED6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D04"/>
    <w:rsid w:val="00B95EB5"/>
    <w:rsid w:val="00B966F8"/>
    <w:rsid w:val="00B96E75"/>
    <w:rsid w:val="00B973E9"/>
    <w:rsid w:val="00B97723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914"/>
    <w:rsid w:val="00C45E4B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00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71F0"/>
    <w:rsid w:val="00DF774B"/>
    <w:rsid w:val="00DF7E02"/>
    <w:rsid w:val="00E00199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4A9C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129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7</cp:revision>
  <dcterms:created xsi:type="dcterms:W3CDTF">2016-10-05T18:21:00Z</dcterms:created>
  <dcterms:modified xsi:type="dcterms:W3CDTF">2021-02-28T13:55:00Z</dcterms:modified>
</cp:coreProperties>
</file>